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CB0" w:rsidRDefault="00136CB0" w:rsidP="00F42BEF">
      <w:pPr>
        <w:pStyle w:val="ListParagraph"/>
        <w:numPr>
          <w:ilvl w:val="0"/>
          <w:numId w:val="1"/>
        </w:numPr>
        <w:spacing w:before="240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136CB0">
        <w:rPr>
          <w:rFonts w:ascii="Arial" w:hAnsi="Arial" w:cs="Arial"/>
          <w:bCs/>
          <w:spacing w:val="-3"/>
          <w:sz w:val="22"/>
          <w:szCs w:val="22"/>
        </w:rPr>
        <w:t xml:space="preserve">The Water Legislation Amendment </w:t>
      </w:r>
      <w:r w:rsidR="007B702F">
        <w:rPr>
          <w:rFonts w:ascii="Arial" w:hAnsi="Arial" w:cs="Arial"/>
          <w:bCs/>
          <w:spacing w:val="-3"/>
          <w:sz w:val="22"/>
          <w:szCs w:val="22"/>
        </w:rPr>
        <w:t>B</w:t>
      </w:r>
      <w:r w:rsidR="00F42BEF">
        <w:rPr>
          <w:rFonts w:ascii="Arial" w:hAnsi="Arial" w:cs="Arial"/>
          <w:bCs/>
          <w:spacing w:val="-3"/>
          <w:sz w:val="22"/>
          <w:szCs w:val="22"/>
        </w:rPr>
        <w:t xml:space="preserve">ill 2015 </w:t>
      </w:r>
      <w:r w:rsidRPr="00136CB0">
        <w:rPr>
          <w:rFonts w:ascii="Arial" w:hAnsi="Arial" w:cs="Arial"/>
          <w:bCs/>
          <w:spacing w:val="-3"/>
          <w:sz w:val="22"/>
          <w:szCs w:val="22"/>
        </w:rPr>
        <w:t>amend</w:t>
      </w:r>
      <w:r w:rsidR="00F42BEF">
        <w:rPr>
          <w:rFonts w:ascii="Arial" w:hAnsi="Arial" w:cs="Arial"/>
          <w:bCs/>
          <w:spacing w:val="-3"/>
          <w:sz w:val="22"/>
          <w:szCs w:val="22"/>
        </w:rPr>
        <w:t>s</w:t>
      </w:r>
      <w:r w:rsidR="00B5063F">
        <w:rPr>
          <w:rFonts w:ascii="Arial" w:hAnsi="Arial" w:cs="Arial"/>
          <w:bCs/>
          <w:spacing w:val="-3"/>
          <w:sz w:val="22"/>
          <w:szCs w:val="22"/>
        </w:rPr>
        <w:t xml:space="preserve"> the</w:t>
      </w:r>
      <w:r w:rsidRPr="00136CB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6A68AB">
        <w:rPr>
          <w:rFonts w:ascii="Arial" w:hAnsi="Arial" w:cs="Arial"/>
          <w:bCs/>
          <w:i/>
          <w:spacing w:val="-3"/>
          <w:sz w:val="22"/>
          <w:szCs w:val="22"/>
        </w:rPr>
        <w:t xml:space="preserve">Water Reform and </w:t>
      </w:r>
      <w:r w:rsidR="007B702F" w:rsidRPr="006A68AB">
        <w:rPr>
          <w:rFonts w:ascii="Arial" w:hAnsi="Arial" w:cs="Arial"/>
          <w:bCs/>
          <w:i/>
          <w:spacing w:val="-3"/>
          <w:sz w:val="22"/>
          <w:szCs w:val="22"/>
        </w:rPr>
        <w:t>O</w:t>
      </w:r>
      <w:r w:rsidRPr="006A68AB">
        <w:rPr>
          <w:rFonts w:ascii="Arial" w:hAnsi="Arial" w:cs="Arial"/>
          <w:bCs/>
          <w:i/>
          <w:spacing w:val="-3"/>
          <w:sz w:val="22"/>
          <w:szCs w:val="22"/>
        </w:rPr>
        <w:t>ther Legislation Amendment Act 2014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</w:t>
      </w:r>
      <w:r w:rsidR="00B5063F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>WROLA Act)</w:t>
      </w:r>
      <w:r w:rsidR="00F82AA9">
        <w:rPr>
          <w:rFonts w:ascii="Arial" w:hAnsi="Arial" w:cs="Arial"/>
          <w:bCs/>
          <w:spacing w:val="-3"/>
          <w:sz w:val="22"/>
          <w:szCs w:val="22"/>
        </w:rPr>
        <w:t>.</w:t>
      </w:r>
      <w:r w:rsidR="006F663A">
        <w:rPr>
          <w:rFonts w:ascii="Arial" w:hAnsi="Arial" w:cs="Arial"/>
          <w:bCs/>
          <w:spacing w:val="-3"/>
          <w:sz w:val="22"/>
          <w:szCs w:val="22"/>
        </w:rPr>
        <w:t xml:space="preserve"> The Bill provides for:</w:t>
      </w:r>
    </w:p>
    <w:p w:rsidR="00F82AA9" w:rsidRDefault="006038A1" w:rsidP="00F42BEF">
      <w:pPr>
        <w:pStyle w:val="ListParagraph"/>
        <w:numPr>
          <w:ilvl w:val="0"/>
          <w:numId w:val="8"/>
        </w:numPr>
        <w:tabs>
          <w:tab w:val="left" w:pos="567"/>
          <w:tab w:val="left" w:pos="1134"/>
        </w:tabs>
        <w:spacing w:before="120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explicitly </w:t>
      </w:r>
      <w:r w:rsidR="00337BDE">
        <w:rPr>
          <w:rFonts w:ascii="Arial" w:hAnsi="Arial" w:cs="Arial"/>
          <w:bCs/>
          <w:spacing w:val="-3"/>
          <w:sz w:val="22"/>
          <w:szCs w:val="22"/>
        </w:rPr>
        <w:t>r</w:t>
      </w:r>
      <w:r w:rsidR="003F74E0">
        <w:rPr>
          <w:rFonts w:ascii="Arial" w:hAnsi="Arial" w:cs="Arial"/>
          <w:bCs/>
          <w:spacing w:val="-3"/>
          <w:sz w:val="22"/>
          <w:szCs w:val="22"/>
        </w:rPr>
        <w:t>einstating the principles of ecologically sustainable development in the new purpose of the</w:t>
      </w:r>
      <w:r w:rsidR="00E6350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63501" w:rsidRPr="006A68AB">
        <w:rPr>
          <w:rFonts w:ascii="Arial" w:hAnsi="Arial" w:cs="Arial"/>
          <w:bCs/>
          <w:i/>
          <w:spacing w:val="-3"/>
          <w:sz w:val="22"/>
          <w:szCs w:val="22"/>
        </w:rPr>
        <w:t>Water Act 2000</w:t>
      </w:r>
      <w:r w:rsidR="003F74E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A68AB">
        <w:rPr>
          <w:rFonts w:ascii="Arial" w:hAnsi="Arial" w:cs="Arial"/>
          <w:bCs/>
          <w:spacing w:val="-3"/>
          <w:sz w:val="22"/>
          <w:szCs w:val="22"/>
        </w:rPr>
        <w:t>(the Water Act</w:t>
      </w:r>
      <w:r w:rsidR="00B5063F">
        <w:rPr>
          <w:rFonts w:ascii="Arial" w:hAnsi="Arial" w:cs="Arial"/>
          <w:bCs/>
          <w:spacing w:val="-3"/>
          <w:sz w:val="22"/>
          <w:szCs w:val="22"/>
        </w:rPr>
        <w:t>)</w:t>
      </w:r>
      <w:r w:rsidR="00F42BE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3F74E0">
        <w:rPr>
          <w:rFonts w:ascii="Arial" w:hAnsi="Arial" w:cs="Arial"/>
          <w:bCs/>
          <w:spacing w:val="-3"/>
          <w:sz w:val="22"/>
          <w:szCs w:val="22"/>
        </w:rPr>
        <w:t>(</w:t>
      </w:r>
      <w:r w:rsidR="00F42BEF">
        <w:rPr>
          <w:rFonts w:ascii="Arial" w:hAnsi="Arial" w:cs="Arial"/>
          <w:bCs/>
          <w:spacing w:val="-3"/>
          <w:sz w:val="22"/>
          <w:szCs w:val="22"/>
        </w:rPr>
        <w:t>as contained in the WROLA Act)</w:t>
      </w:r>
    </w:p>
    <w:p w:rsidR="003F74E0" w:rsidRDefault="00337BDE" w:rsidP="00F42BEF">
      <w:pPr>
        <w:pStyle w:val="ListParagraph"/>
        <w:numPr>
          <w:ilvl w:val="0"/>
          <w:numId w:val="8"/>
        </w:numPr>
        <w:tabs>
          <w:tab w:val="left" w:pos="567"/>
          <w:tab w:val="left" w:pos="1134"/>
        </w:tabs>
        <w:spacing w:before="120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r</w:t>
      </w:r>
      <w:r w:rsidR="003F74E0">
        <w:rPr>
          <w:rFonts w:ascii="Arial" w:hAnsi="Arial" w:cs="Arial"/>
          <w:bCs/>
          <w:spacing w:val="-3"/>
          <w:sz w:val="22"/>
          <w:szCs w:val="22"/>
        </w:rPr>
        <w:t>eplacing references to “responsible and productive management” with “sustainable management” in the purpos</w:t>
      </w:r>
      <w:r w:rsidR="00F42BEF">
        <w:rPr>
          <w:rFonts w:ascii="Arial" w:hAnsi="Arial" w:cs="Arial"/>
          <w:bCs/>
          <w:spacing w:val="-3"/>
          <w:sz w:val="22"/>
          <w:szCs w:val="22"/>
        </w:rPr>
        <w:t>e and throughout the WROLA Act</w:t>
      </w:r>
    </w:p>
    <w:p w:rsidR="003F74E0" w:rsidRDefault="00337BDE" w:rsidP="00F42BEF">
      <w:pPr>
        <w:pStyle w:val="ListParagraph"/>
        <w:numPr>
          <w:ilvl w:val="0"/>
          <w:numId w:val="8"/>
        </w:numPr>
        <w:tabs>
          <w:tab w:val="left" w:pos="567"/>
          <w:tab w:val="left" w:pos="1134"/>
        </w:tabs>
        <w:spacing w:before="120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o</w:t>
      </w:r>
      <w:r w:rsidR="003F74E0">
        <w:rPr>
          <w:rFonts w:ascii="Arial" w:hAnsi="Arial" w:cs="Arial"/>
          <w:bCs/>
          <w:spacing w:val="-3"/>
          <w:sz w:val="22"/>
          <w:szCs w:val="22"/>
        </w:rPr>
        <w:t>mitting the provisions that allow for the declara</w:t>
      </w:r>
      <w:r w:rsidR="00F42BEF">
        <w:rPr>
          <w:rFonts w:ascii="Arial" w:hAnsi="Arial" w:cs="Arial"/>
          <w:bCs/>
          <w:spacing w:val="-3"/>
          <w:sz w:val="22"/>
          <w:szCs w:val="22"/>
        </w:rPr>
        <w:t>tion of designated watercourses</w:t>
      </w:r>
    </w:p>
    <w:p w:rsidR="003F74E0" w:rsidRDefault="00337BDE" w:rsidP="00F42BEF">
      <w:pPr>
        <w:pStyle w:val="ListParagraph"/>
        <w:numPr>
          <w:ilvl w:val="0"/>
          <w:numId w:val="8"/>
        </w:numPr>
        <w:tabs>
          <w:tab w:val="left" w:pos="567"/>
          <w:tab w:val="left" w:pos="1134"/>
        </w:tabs>
        <w:spacing w:before="120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o</w:t>
      </w:r>
      <w:r w:rsidR="003F74E0">
        <w:rPr>
          <w:rFonts w:ascii="Arial" w:hAnsi="Arial" w:cs="Arial"/>
          <w:bCs/>
          <w:spacing w:val="-3"/>
          <w:sz w:val="22"/>
          <w:szCs w:val="22"/>
        </w:rPr>
        <w:t>mitting the water development option provis</w:t>
      </w:r>
      <w:r w:rsidR="000D6489">
        <w:rPr>
          <w:rFonts w:ascii="Arial" w:hAnsi="Arial" w:cs="Arial"/>
          <w:bCs/>
          <w:spacing w:val="-3"/>
          <w:sz w:val="22"/>
          <w:szCs w:val="22"/>
        </w:rPr>
        <w:t>i</w:t>
      </w:r>
      <w:r w:rsidR="00F42BEF">
        <w:rPr>
          <w:rFonts w:ascii="Arial" w:hAnsi="Arial" w:cs="Arial"/>
          <w:bCs/>
          <w:spacing w:val="-3"/>
          <w:sz w:val="22"/>
          <w:szCs w:val="22"/>
        </w:rPr>
        <w:t>ons in their entirety</w:t>
      </w:r>
    </w:p>
    <w:p w:rsidR="003F74E0" w:rsidRDefault="00337BDE" w:rsidP="00F42BEF">
      <w:pPr>
        <w:pStyle w:val="ListParagraph"/>
        <w:numPr>
          <w:ilvl w:val="0"/>
          <w:numId w:val="8"/>
        </w:numPr>
        <w:tabs>
          <w:tab w:val="left" w:pos="567"/>
          <w:tab w:val="left" w:pos="1134"/>
        </w:tabs>
        <w:spacing w:before="120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v</w:t>
      </w:r>
      <w:r w:rsidR="003F74E0">
        <w:rPr>
          <w:rFonts w:ascii="Arial" w:hAnsi="Arial" w:cs="Arial"/>
          <w:bCs/>
          <w:spacing w:val="-3"/>
          <w:sz w:val="22"/>
          <w:szCs w:val="22"/>
        </w:rPr>
        <w:t>alidati</w:t>
      </w:r>
      <w:r>
        <w:rPr>
          <w:rFonts w:ascii="Arial" w:hAnsi="Arial" w:cs="Arial"/>
          <w:bCs/>
          <w:spacing w:val="-3"/>
          <w:sz w:val="22"/>
          <w:szCs w:val="22"/>
        </w:rPr>
        <w:t>ng</w:t>
      </w:r>
      <w:r w:rsidR="003F74E0">
        <w:rPr>
          <w:rFonts w:ascii="Arial" w:hAnsi="Arial" w:cs="Arial"/>
          <w:bCs/>
          <w:spacing w:val="-3"/>
          <w:sz w:val="22"/>
          <w:szCs w:val="22"/>
        </w:rPr>
        <w:t xml:space="preserve"> the establishment of the Lower Her</w:t>
      </w:r>
      <w:r w:rsidR="00F42BEF">
        <w:rPr>
          <w:rFonts w:ascii="Arial" w:hAnsi="Arial" w:cs="Arial"/>
          <w:bCs/>
          <w:spacing w:val="-3"/>
          <w:sz w:val="22"/>
          <w:szCs w:val="22"/>
        </w:rPr>
        <w:t>bert Water Management Authority</w:t>
      </w:r>
    </w:p>
    <w:p w:rsidR="003F74E0" w:rsidRDefault="00B5063F" w:rsidP="00F42BEF">
      <w:pPr>
        <w:pStyle w:val="ListParagraph"/>
        <w:numPr>
          <w:ilvl w:val="0"/>
          <w:numId w:val="8"/>
        </w:numPr>
        <w:tabs>
          <w:tab w:val="left" w:pos="567"/>
          <w:tab w:val="left" w:pos="1134"/>
        </w:tabs>
        <w:spacing w:before="120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miscellaneous </w:t>
      </w:r>
      <w:r w:rsidR="003F74E0">
        <w:rPr>
          <w:rFonts w:ascii="Arial" w:hAnsi="Arial" w:cs="Arial"/>
          <w:bCs/>
          <w:spacing w:val="-3"/>
          <w:sz w:val="22"/>
          <w:szCs w:val="22"/>
        </w:rPr>
        <w:t>amendments to enable smooth implementation of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</w:t>
      </w:r>
      <w:r w:rsidR="003F74E0">
        <w:rPr>
          <w:rFonts w:ascii="Arial" w:hAnsi="Arial" w:cs="Arial"/>
          <w:bCs/>
          <w:spacing w:val="-3"/>
          <w:sz w:val="22"/>
          <w:szCs w:val="22"/>
        </w:rPr>
        <w:t xml:space="preserve"> WROLA Act and to correct errors. These include</w:t>
      </w:r>
      <w:r w:rsidR="000D6489">
        <w:rPr>
          <w:rFonts w:ascii="Arial" w:hAnsi="Arial" w:cs="Arial"/>
          <w:bCs/>
          <w:spacing w:val="-3"/>
          <w:sz w:val="22"/>
          <w:szCs w:val="22"/>
        </w:rPr>
        <w:t xml:space="preserve">: </w:t>
      </w:r>
    </w:p>
    <w:p w:rsidR="000D6489" w:rsidRPr="001661D4" w:rsidRDefault="00337BDE" w:rsidP="00F42BEF">
      <w:pPr>
        <w:numPr>
          <w:ilvl w:val="1"/>
          <w:numId w:val="5"/>
        </w:numPr>
        <w:spacing w:before="12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1661D4">
        <w:rPr>
          <w:rFonts w:ascii="Arial" w:hAnsi="Arial" w:cs="Arial"/>
          <w:bCs/>
          <w:color w:val="auto"/>
          <w:spacing w:val="-3"/>
          <w:sz w:val="22"/>
          <w:szCs w:val="22"/>
        </w:rPr>
        <w:t>c</w:t>
      </w:r>
      <w:r w:rsidR="000D6489" w:rsidRPr="001661D4">
        <w:rPr>
          <w:rFonts w:ascii="Arial" w:hAnsi="Arial" w:cs="Arial"/>
          <w:bCs/>
          <w:color w:val="auto"/>
          <w:spacing w:val="-3"/>
          <w:sz w:val="22"/>
          <w:szCs w:val="22"/>
        </w:rPr>
        <w:t>orrect</w:t>
      </w:r>
      <w:r w:rsidRPr="001661D4">
        <w:rPr>
          <w:rFonts w:ascii="Arial" w:hAnsi="Arial" w:cs="Arial"/>
          <w:bCs/>
          <w:color w:val="auto"/>
          <w:spacing w:val="-3"/>
          <w:sz w:val="22"/>
          <w:szCs w:val="22"/>
        </w:rPr>
        <w:t>ing</w:t>
      </w:r>
      <w:r w:rsidR="000D6489" w:rsidRPr="001661D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an error to ensure that a decision on a water licence application must be consistent with a water entitlement notice;</w:t>
      </w:r>
    </w:p>
    <w:p w:rsidR="000D6489" w:rsidRPr="001661D4" w:rsidRDefault="00337BDE" w:rsidP="00F42BEF">
      <w:pPr>
        <w:numPr>
          <w:ilvl w:val="1"/>
          <w:numId w:val="5"/>
        </w:numPr>
        <w:spacing w:before="12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1661D4">
        <w:rPr>
          <w:rFonts w:ascii="Arial" w:hAnsi="Arial" w:cs="Arial"/>
          <w:bCs/>
          <w:color w:val="auto"/>
          <w:spacing w:val="-3"/>
          <w:sz w:val="22"/>
          <w:szCs w:val="22"/>
        </w:rPr>
        <w:t>c</w:t>
      </w:r>
      <w:r w:rsidR="000D6489" w:rsidRPr="001661D4">
        <w:rPr>
          <w:rFonts w:ascii="Arial" w:hAnsi="Arial" w:cs="Arial"/>
          <w:bCs/>
          <w:color w:val="auto"/>
          <w:spacing w:val="-3"/>
          <w:sz w:val="22"/>
          <w:szCs w:val="22"/>
        </w:rPr>
        <w:t>orrect</w:t>
      </w:r>
      <w:r w:rsidRPr="001661D4">
        <w:rPr>
          <w:rFonts w:ascii="Arial" w:hAnsi="Arial" w:cs="Arial"/>
          <w:bCs/>
          <w:color w:val="auto"/>
          <w:spacing w:val="-3"/>
          <w:sz w:val="22"/>
          <w:szCs w:val="22"/>
        </w:rPr>
        <w:t>ing</w:t>
      </w:r>
      <w:r w:rsidR="000D6489" w:rsidRPr="001661D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an incorrect cross-reference in the Water Act</w:t>
      </w:r>
      <w:r w:rsidR="006A16E5" w:rsidRPr="001661D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0D6489" w:rsidRPr="001661D4">
        <w:rPr>
          <w:rFonts w:ascii="Arial" w:hAnsi="Arial" w:cs="Arial"/>
          <w:bCs/>
          <w:color w:val="auto"/>
          <w:spacing w:val="-3"/>
          <w:sz w:val="22"/>
          <w:szCs w:val="22"/>
        </w:rPr>
        <w:t>to ensure all water allocations are registered on the water allocations register;</w:t>
      </w:r>
    </w:p>
    <w:p w:rsidR="000D6489" w:rsidRPr="001661D4" w:rsidRDefault="00337BDE" w:rsidP="00F42BEF">
      <w:pPr>
        <w:numPr>
          <w:ilvl w:val="1"/>
          <w:numId w:val="5"/>
        </w:numPr>
        <w:spacing w:before="12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1661D4">
        <w:rPr>
          <w:rFonts w:ascii="Arial" w:hAnsi="Arial" w:cs="Arial"/>
          <w:bCs/>
          <w:color w:val="auto"/>
          <w:spacing w:val="-3"/>
          <w:sz w:val="22"/>
          <w:szCs w:val="22"/>
        </w:rPr>
        <w:t>u</w:t>
      </w:r>
      <w:r w:rsidR="000D6489" w:rsidRPr="001661D4">
        <w:rPr>
          <w:rFonts w:ascii="Arial" w:hAnsi="Arial" w:cs="Arial"/>
          <w:bCs/>
          <w:color w:val="auto"/>
          <w:spacing w:val="-3"/>
          <w:sz w:val="22"/>
          <w:szCs w:val="22"/>
        </w:rPr>
        <w:t>pdat</w:t>
      </w:r>
      <w:r w:rsidRPr="001661D4">
        <w:rPr>
          <w:rFonts w:ascii="Arial" w:hAnsi="Arial" w:cs="Arial"/>
          <w:bCs/>
          <w:color w:val="auto"/>
          <w:spacing w:val="-3"/>
          <w:sz w:val="22"/>
          <w:szCs w:val="22"/>
        </w:rPr>
        <w:t>ing</w:t>
      </w:r>
      <w:r w:rsidR="000D6489" w:rsidRPr="001661D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transitional provisions for water planning to ensure the provisions appropriate</w:t>
      </w:r>
      <w:r w:rsidR="00B5063F" w:rsidRPr="001661D4">
        <w:rPr>
          <w:rFonts w:ascii="Arial" w:hAnsi="Arial" w:cs="Arial"/>
          <w:bCs/>
          <w:color w:val="auto"/>
          <w:spacing w:val="-3"/>
          <w:sz w:val="22"/>
          <w:szCs w:val="22"/>
        </w:rPr>
        <w:t>ly</w:t>
      </w:r>
      <w:r w:rsidR="000D6489" w:rsidRPr="001661D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provide for the transition of water planning instruments from the Water Act to the new water planning framework under the WROLA Act;</w:t>
      </w:r>
    </w:p>
    <w:p w:rsidR="000D6489" w:rsidRPr="001661D4" w:rsidRDefault="00337BDE" w:rsidP="00F42BEF">
      <w:pPr>
        <w:numPr>
          <w:ilvl w:val="1"/>
          <w:numId w:val="5"/>
        </w:numPr>
        <w:spacing w:before="12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1661D4">
        <w:rPr>
          <w:rFonts w:ascii="Arial" w:hAnsi="Arial" w:cs="Arial"/>
          <w:bCs/>
          <w:color w:val="auto"/>
          <w:spacing w:val="-3"/>
          <w:sz w:val="22"/>
          <w:szCs w:val="22"/>
        </w:rPr>
        <w:t>c</w:t>
      </w:r>
      <w:r w:rsidR="000D6489" w:rsidRPr="001661D4">
        <w:rPr>
          <w:rFonts w:ascii="Arial" w:hAnsi="Arial" w:cs="Arial"/>
          <w:bCs/>
          <w:color w:val="auto"/>
          <w:spacing w:val="-3"/>
          <w:sz w:val="22"/>
          <w:szCs w:val="22"/>
        </w:rPr>
        <w:t>orrect</w:t>
      </w:r>
      <w:r w:rsidRPr="001661D4">
        <w:rPr>
          <w:rFonts w:ascii="Arial" w:hAnsi="Arial" w:cs="Arial"/>
          <w:bCs/>
          <w:color w:val="auto"/>
          <w:spacing w:val="-3"/>
          <w:sz w:val="22"/>
          <w:szCs w:val="22"/>
        </w:rPr>
        <w:t>ing</w:t>
      </w:r>
      <w:r w:rsidR="000D6489" w:rsidRPr="001661D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an oversight to ensure the chief executive considers the provisions of a water plan when deciding an application to relocate a water licence</w:t>
      </w:r>
      <w:r w:rsidR="003E4672" w:rsidRPr="001661D4">
        <w:rPr>
          <w:rFonts w:ascii="Arial" w:hAnsi="Arial" w:cs="Arial"/>
          <w:bCs/>
          <w:color w:val="auto"/>
          <w:spacing w:val="-3"/>
          <w:sz w:val="22"/>
          <w:szCs w:val="22"/>
        </w:rPr>
        <w:t>; and</w:t>
      </w:r>
    </w:p>
    <w:p w:rsidR="000D6489" w:rsidRPr="001661D4" w:rsidRDefault="007F175E" w:rsidP="00F42BEF">
      <w:pPr>
        <w:numPr>
          <w:ilvl w:val="1"/>
          <w:numId w:val="5"/>
        </w:numPr>
        <w:spacing w:before="12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1661D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making </w:t>
      </w:r>
      <w:r w:rsidR="00AF1A74" w:rsidRPr="001661D4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amendments to allow the chief executive to deal with a tenure that is partially within and partially outside a </w:t>
      </w:r>
      <w:r w:rsidR="000D6489" w:rsidRPr="001661D4">
        <w:rPr>
          <w:rFonts w:ascii="Arial" w:hAnsi="Arial" w:cs="Arial"/>
          <w:bCs/>
          <w:color w:val="auto"/>
          <w:spacing w:val="-3"/>
          <w:sz w:val="22"/>
          <w:szCs w:val="22"/>
        </w:rPr>
        <w:t>cumulative management area.</w:t>
      </w:r>
    </w:p>
    <w:p w:rsidR="000D6489" w:rsidRDefault="000D6489" w:rsidP="00F42BEF">
      <w:pPr>
        <w:pStyle w:val="ListParagraph"/>
        <w:numPr>
          <w:ilvl w:val="0"/>
          <w:numId w:val="1"/>
        </w:numPr>
        <w:spacing w:before="240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also </w:t>
      </w:r>
      <w:r w:rsidR="000006E4">
        <w:rPr>
          <w:rFonts w:ascii="Arial" w:hAnsi="Arial" w:cs="Arial"/>
          <w:bCs/>
          <w:spacing w:val="-3"/>
          <w:sz w:val="22"/>
          <w:szCs w:val="22"/>
        </w:rPr>
        <w:t xml:space="preserve">includes </w:t>
      </w:r>
      <w:r w:rsidR="006038A1">
        <w:rPr>
          <w:rFonts w:ascii="Arial" w:hAnsi="Arial" w:cs="Arial"/>
          <w:bCs/>
          <w:spacing w:val="-3"/>
          <w:sz w:val="22"/>
          <w:szCs w:val="22"/>
        </w:rPr>
        <w:t xml:space="preserve">operational </w:t>
      </w:r>
      <w:r w:rsidR="000006E4">
        <w:rPr>
          <w:rFonts w:ascii="Arial" w:hAnsi="Arial" w:cs="Arial"/>
          <w:bCs/>
          <w:spacing w:val="-3"/>
          <w:sz w:val="22"/>
          <w:szCs w:val="22"/>
        </w:rPr>
        <w:t xml:space="preserve">amendments to clarify what was intended by amendments to the </w:t>
      </w:r>
      <w:r w:rsidR="000006E4" w:rsidRPr="00F42BEF">
        <w:rPr>
          <w:rFonts w:ascii="Arial" w:hAnsi="Arial" w:cs="Arial"/>
          <w:bCs/>
          <w:i/>
          <w:spacing w:val="-3"/>
          <w:sz w:val="22"/>
          <w:szCs w:val="22"/>
        </w:rPr>
        <w:t>River Improvement Trust Act 1940</w:t>
      </w:r>
      <w:r w:rsidR="000006E4" w:rsidRPr="001661D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006E4">
        <w:rPr>
          <w:rFonts w:ascii="Arial" w:hAnsi="Arial" w:cs="Arial"/>
          <w:bCs/>
          <w:spacing w:val="-3"/>
          <w:sz w:val="22"/>
          <w:szCs w:val="22"/>
        </w:rPr>
        <w:t>(</w:t>
      </w:r>
      <w:r w:rsidR="006A68AB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0006E4">
        <w:rPr>
          <w:rFonts w:ascii="Arial" w:hAnsi="Arial" w:cs="Arial"/>
          <w:bCs/>
          <w:spacing w:val="-3"/>
          <w:sz w:val="22"/>
          <w:szCs w:val="22"/>
        </w:rPr>
        <w:t xml:space="preserve">RIT Act) by the WROLA </w:t>
      </w:r>
      <w:r w:rsidR="006A68AB">
        <w:rPr>
          <w:rFonts w:ascii="Arial" w:hAnsi="Arial" w:cs="Arial"/>
          <w:bCs/>
          <w:spacing w:val="-3"/>
          <w:sz w:val="22"/>
          <w:szCs w:val="22"/>
        </w:rPr>
        <w:t>A</w:t>
      </w:r>
      <w:r w:rsidR="000006E4">
        <w:rPr>
          <w:rFonts w:ascii="Arial" w:hAnsi="Arial" w:cs="Arial"/>
          <w:bCs/>
          <w:spacing w:val="-3"/>
          <w:sz w:val="22"/>
          <w:szCs w:val="22"/>
        </w:rPr>
        <w:t>ct, including:</w:t>
      </w:r>
    </w:p>
    <w:p w:rsidR="000006E4" w:rsidRDefault="00337BDE" w:rsidP="00F42BEF">
      <w:pPr>
        <w:pStyle w:val="ListParagraph"/>
        <w:numPr>
          <w:ilvl w:val="0"/>
          <w:numId w:val="8"/>
        </w:numPr>
        <w:tabs>
          <w:tab w:val="left" w:pos="567"/>
          <w:tab w:val="left" w:pos="1134"/>
        </w:tabs>
        <w:spacing w:before="120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ensuring the Minister’s flexibility is retained to determine the appointees to a river improvement trust separately from a regulation establishing a trust; and</w:t>
      </w:r>
    </w:p>
    <w:p w:rsidR="00AF1A74" w:rsidRPr="00972D9F" w:rsidRDefault="00337BDE" w:rsidP="00F42BEF">
      <w:pPr>
        <w:pStyle w:val="ListParagraph"/>
        <w:numPr>
          <w:ilvl w:val="0"/>
          <w:numId w:val="8"/>
        </w:numPr>
        <w:tabs>
          <w:tab w:val="left" w:pos="567"/>
          <w:tab w:val="left" w:pos="1134"/>
        </w:tabs>
        <w:spacing w:before="120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72D9F">
        <w:rPr>
          <w:rFonts w:ascii="Arial" w:hAnsi="Arial" w:cs="Arial"/>
          <w:bCs/>
          <w:spacing w:val="-3"/>
          <w:sz w:val="22"/>
          <w:szCs w:val="22"/>
        </w:rPr>
        <w:t>making it clear that a trust is no longer required to seek chief executive approval prior to conducting works for the purpose of achieving the object of the RIT Act.</w:t>
      </w:r>
    </w:p>
    <w:p w:rsidR="00BC6952" w:rsidRPr="001661D4" w:rsidRDefault="00BC6952" w:rsidP="00F42BEF">
      <w:pPr>
        <w:pStyle w:val="ListParagraph"/>
        <w:numPr>
          <w:ilvl w:val="0"/>
          <w:numId w:val="1"/>
        </w:numPr>
        <w:spacing w:before="240"/>
        <w:contextualSpacing w:val="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3E4672">
        <w:rPr>
          <w:rFonts w:ascii="Arial" w:hAnsi="Arial" w:cs="Arial"/>
          <w:sz w:val="22"/>
          <w:szCs w:val="22"/>
          <w:u w:val="single"/>
        </w:rPr>
        <w:t>Cabinet approved</w:t>
      </w:r>
      <w:r w:rsidR="00136CB0" w:rsidRPr="00136CB0">
        <w:rPr>
          <w:rFonts w:ascii="Arial" w:hAnsi="Arial" w:cs="Arial"/>
          <w:sz w:val="22"/>
          <w:szCs w:val="22"/>
        </w:rPr>
        <w:t xml:space="preserve"> that the Water Legislation Amendment Bill 2015 be introduced into the Legislative</w:t>
      </w:r>
      <w:r w:rsidR="003E4672">
        <w:rPr>
          <w:rFonts w:ascii="Arial" w:hAnsi="Arial" w:cs="Arial"/>
          <w:sz w:val="22"/>
          <w:szCs w:val="22"/>
        </w:rPr>
        <w:t xml:space="preserve"> Assem</w:t>
      </w:r>
      <w:r w:rsidR="003E4672" w:rsidRPr="001661D4">
        <w:rPr>
          <w:rFonts w:ascii="Arial" w:hAnsi="Arial" w:cs="Arial"/>
          <w:color w:val="auto"/>
          <w:sz w:val="22"/>
          <w:szCs w:val="22"/>
        </w:rPr>
        <w:t>bly</w:t>
      </w:r>
      <w:r w:rsidR="006E3D65" w:rsidRPr="001661D4">
        <w:rPr>
          <w:rFonts w:ascii="Arial" w:hAnsi="Arial" w:cs="Arial"/>
          <w:color w:val="auto"/>
          <w:sz w:val="22"/>
          <w:szCs w:val="22"/>
        </w:rPr>
        <w:t>.</w:t>
      </w:r>
    </w:p>
    <w:p w:rsidR="00BC6952" w:rsidRPr="00F42BEF" w:rsidRDefault="00BC6952" w:rsidP="00F42BEF">
      <w:pPr>
        <w:pStyle w:val="ListParagraph"/>
        <w:numPr>
          <w:ilvl w:val="0"/>
          <w:numId w:val="1"/>
        </w:numPr>
        <w:spacing w:before="360"/>
        <w:contextualSpacing w:val="0"/>
        <w:jc w:val="both"/>
        <w:rPr>
          <w:rFonts w:ascii="Arial" w:hAnsi="Arial" w:cs="Arial"/>
          <w:sz w:val="22"/>
          <w:szCs w:val="22"/>
        </w:rPr>
      </w:pPr>
      <w:r w:rsidRPr="007F175E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136CB0" w:rsidRPr="001661D4" w:rsidRDefault="009901DD" w:rsidP="00F42BEF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color w:val="auto"/>
          <w:sz w:val="22"/>
          <w:szCs w:val="22"/>
        </w:rPr>
      </w:pPr>
      <w:hyperlink r:id="rId8" w:history="1">
        <w:r w:rsidR="00136CB0" w:rsidRPr="000453F8">
          <w:rPr>
            <w:rStyle w:val="Hyperlink"/>
            <w:rFonts w:ascii="Arial" w:hAnsi="Arial" w:cs="Arial"/>
            <w:sz w:val="22"/>
            <w:szCs w:val="22"/>
          </w:rPr>
          <w:t>Water Legislation Amendment Bill 2015</w:t>
        </w:r>
      </w:hyperlink>
    </w:p>
    <w:p w:rsidR="00BC6952" w:rsidRPr="001661D4" w:rsidRDefault="009901DD" w:rsidP="00F42BEF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color w:val="auto"/>
          <w:sz w:val="22"/>
          <w:szCs w:val="22"/>
        </w:rPr>
      </w:pPr>
      <w:hyperlink r:id="rId9" w:history="1">
        <w:r w:rsidR="00136CB0" w:rsidRPr="000453F8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BC6952" w:rsidRPr="001661D4" w:rsidSect="00BC6952">
      <w:headerReference w:type="default" r:id="rId10"/>
      <w:pgSz w:w="11906" w:h="16838"/>
      <w:pgMar w:top="144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AA8" w:rsidRDefault="00B91AA8" w:rsidP="00D6589B">
      <w:r>
        <w:separator/>
      </w:r>
    </w:p>
  </w:endnote>
  <w:endnote w:type="continuationSeparator" w:id="0">
    <w:p w:rsidR="00B91AA8" w:rsidRDefault="00B91AA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AA8" w:rsidRDefault="00B91AA8" w:rsidP="00D6589B">
      <w:r>
        <w:separator/>
      </w:r>
    </w:p>
  </w:footnote>
  <w:footnote w:type="continuationSeparator" w:id="0">
    <w:p w:rsidR="00B91AA8" w:rsidRDefault="00B91AA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950178" w:rsidRPr="001E209B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6C3C35">
      <w:rPr>
        <w:rFonts w:ascii="Arial" w:hAnsi="Arial" w:cs="Arial"/>
        <w:b/>
        <w:sz w:val="22"/>
        <w:szCs w:val="22"/>
      </w:rPr>
      <w:t>November 2015</w:t>
    </w:r>
  </w:p>
  <w:p w:rsidR="00950178" w:rsidRDefault="00136CB0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Water Legislation Amendment Bill 2015</w:t>
    </w:r>
  </w:p>
  <w:p w:rsidR="00950178" w:rsidRDefault="00252027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State Development and </w:t>
    </w:r>
    <w:r w:rsidR="00950178">
      <w:rPr>
        <w:rFonts w:ascii="Arial" w:hAnsi="Arial" w:cs="Arial"/>
        <w:b/>
        <w:sz w:val="22"/>
        <w:szCs w:val="22"/>
        <w:u w:val="single"/>
      </w:rPr>
      <w:t>Minister</w:t>
    </w:r>
    <w:r w:rsidR="00791A9C">
      <w:rPr>
        <w:rFonts w:ascii="Arial" w:hAnsi="Arial" w:cs="Arial"/>
        <w:b/>
        <w:sz w:val="22"/>
        <w:szCs w:val="22"/>
        <w:u w:val="single"/>
      </w:rPr>
      <w:t xml:space="preserve"> for Natural Resources and Mines</w:t>
    </w:r>
  </w:p>
  <w:p w:rsidR="00950178" w:rsidRDefault="0095017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4D50"/>
    <w:multiLevelType w:val="hybridMultilevel"/>
    <w:tmpl w:val="81203AD2"/>
    <w:lvl w:ilvl="0" w:tplc="7FA8F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44B09"/>
    <w:multiLevelType w:val="hybridMultilevel"/>
    <w:tmpl w:val="2A960EA0"/>
    <w:lvl w:ilvl="0" w:tplc="EA4E395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42D4"/>
    <w:multiLevelType w:val="hybridMultilevel"/>
    <w:tmpl w:val="BEE29B1E"/>
    <w:lvl w:ilvl="0" w:tplc="877AE7CA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2E8C5AA6"/>
    <w:multiLevelType w:val="hybridMultilevel"/>
    <w:tmpl w:val="AA6A3206"/>
    <w:lvl w:ilvl="0" w:tplc="D92CE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C65EB"/>
    <w:multiLevelType w:val="hybridMultilevel"/>
    <w:tmpl w:val="69ECEBE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284F0D"/>
    <w:multiLevelType w:val="hybridMultilevel"/>
    <w:tmpl w:val="9E84D8C2"/>
    <w:lvl w:ilvl="0" w:tplc="DECE08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  <w:sz w:val="32"/>
      </w:rPr>
    </w:lvl>
    <w:lvl w:ilvl="1" w:tplc="8522FB9E">
      <w:start w:val="1"/>
      <w:numFmt w:val="bullet"/>
      <w:lvlText w:val="o"/>
      <w:lvlJc w:val="left"/>
      <w:pPr>
        <w:tabs>
          <w:tab w:val="num" w:pos="1701"/>
        </w:tabs>
        <w:ind w:left="1701" w:hanging="56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76F87"/>
    <w:multiLevelType w:val="hybridMultilevel"/>
    <w:tmpl w:val="D2AEE6C6"/>
    <w:lvl w:ilvl="0" w:tplc="9D16F8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443"/>
        </w:tabs>
        <w:ind w:left="1443" w:hanging="363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2F"/>
    <w:rsid w:val="000006E4"/>
    <w:rsid w:val="000430DD"/>
    <w:rsid w:val="000453F8"/>
    <w:rsid w:val="00080F8F"/>
    <w:rsid w:val="000D6489"/>
    <w:rsid w:val="00106A59"/>
    <w:rsid w:val="00136CB0"/>
    <w:rsid w:val="00140936"/>
    <w:rsid w:val="001661D4"/>
    <w:rsid w:val="001B06AC"/>
    <w:rsid w:val="001B2FE2"/>
    <w:rsid w:val="001E209B"/>
    <w:rsid w:val="0021344B"/>
    <w:rsid w:val="00242DAE"/>
    <w:rsid w:val="00252027"/>
    <w:rsid w:val="00331B2C"/>
    <w:rsid w:val="00337BDE"/>
    <w:rsid w:val="003B5871"/>
    <w:rsid w:val="003E4672"/>
    <w:rsid w:val="003F74E0"/>
    <w:rsid w:val="00401521"/>
    <w:rsid w:val="004C42C2"/>
    <w:rsid w:val="004E3AE1"/>
    <w:rsid w:val="00501C66"/>
    <w:rsid w:val="00506D9D"/>
    <w:rsid w:val="00507C29"/>
    <w:rsid w:val="005824D7"/>
    <w:rsid w:val="00590C28"/>
    <w:rsid w:val="006038A1"/>
    <w:rsid w:val="00615A4D"/>
    <w:rsid w:val="006500C6"/>
    <w:rsid w:val="0065745B"/>
    <w:rsid w:val="006A16E5"/>
    <w:rsid w:val="006A68AB"/>
    <w:rsid w:val="006C3C35"/>
    <w:rsid w:val="006E3D65"/>
    <w:rsid w:val="006F663A"/>
    <w:rsid w:val="00732E22"/>
    <w:rsid w:val="00740EF5"/>
    <w:rsid w:val="00791A9C"/>
    <w:rsid w:val="007B702F"/>
    <w:rsid w:val="007F175E"/>
    <w:rsid w:val="0089736F"/>
    <w:rsid w:val="008A4523"/>
    <w:rsid w:val="008F44CD"/>
    <w:rsid w:val="00950178"/>
    <w:rsid w:val="00972D9F"/>
    <w:rsid w:val="009901DD"/>
    <w:rsid w:val="009F1766"/>
    <w:rsid w:val="009F4890"/>
    <w:rsid w:val="00A042CA"/>
    <w:rsid w:val="00A34B25"/>
    <w:rsid w:val="00A527A5"/>
    <w:rsid w:val="00A75C18"/>
    <w:rsid w:val="00AF1A74"/>
    <w:rsid w:val="00B16895"/>
    <w:rsid w:val="00B350D6"/>
    <w:rsid w:val="00B5063F"/>
    <w:rsid w:val="00B56703"/>
    <w:rsid w:val="00B91AA8"/>
    <w:rsid w:val="00BC6952"/>
    <w:rsid w:val="00C07656"/>
    <w:rsid w:val="00C27BE6"/>
    <w:rsid w:val="00CC25B7"/>
    <w:rsid w:val="00CC2932"/>
    <w:rsid w:val="00CE6FBA"/>
    <w:rsid w:val="00CF0D8A"/>
    <w:rsid w:val="00CF3EF5"/>
    <w:rsid w:val="00D6589B"/>
    <w:rsid w:val="00D75134"/>
    <w:rsid w:val="00DB6FE7"/>
    <w:rsid w:val="00DE4AA9"/>
    <w:rsid w:val="00DE61EC"/>
    <w:rsid w:val="00E63501"/>
    <w:rsid w:val="00F10DF9"/>
    <w:rsid w:val="00F42BEF"/>
    <w:rsid w:val="00F8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6489"/>
    <w:pPr>
      <w:ind w:left="720"/>
      <w:contextualSpacing/>
    </w:pPr>
  </w:style>
  <w:style w:type="character" w:styleId="Hyperlink">
    <w:name w:val="Hyperlink"/>
    <w:rsid w:val="00E635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Bil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ttachments/ExNot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96680-69AB-4ED1-B116-221539B7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1944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2284</CharactersWithSpaces>
  <SharedDoc>false</SharedDoc>
  <HyperlinkBase>https://www.cabinet.qld.gov.au/documents/2015/Nov/WaterBill/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2015-12-14T23:49:00Z</cp:lastPrinted>
  <dcterms:created xsi:type="dcterms:W3CDTF">2017-10-25T01:34:00Z</dcterms:created>
  <dcterms:modified xsi:type="dcterms:W3CDTF">2018-03-06T01:31:00Z</dcterms:modified>
  <cp:category>Water,Legislation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